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B835" w14:textId="61940DAD" w:rsidR="0044315E" w:rsidRPr="006910AE" w:rsidRDefault="006460CE">
      <w:pPr>
        <w:rPr>
          <w:b/>
          <w:bCs/>
        </w:rPr>
      </w:pPr>
      <w:bookmarkStart w:id="0" w:name="_GoBack"/>
      <w:bookmarkEnd w:id="0"/>
      <w:r w:rsidRPr="006910AE">
        <w:rPr>
          <w:b/>
          <w:bCs/>
        </w:rPr>
        <w:t xml:space="preserve">DRAFT FOR CONSULTATION WITH </w:t>
      </w:r>
      <w:r w:rsidR="006910AE" w:rsidRPr="006910AE">
        <w:rPr>
          <w:b/>
          <w:bCs/>
        </w:rPr>
        <w:t xml:space="preserve">TOWN DEAL </w:t>
      </w:r>
      <w:r w:rsidRPr="006910AE">
        <w:rPr>
          <w:b/>
          <w:bCs/>
        </w:rPr>
        <w:t>BOARD</w:t>
      </w:r>
    </w:p>
    <w:p w14:paraId="67B50C2C" w14:textId="3C94F4D5" w:rsidR="006460CE" w:rsidRDefault="006460CE">
      <w:r>
        <w:t>11 September</w:t>
      </w:r>
      <w:r w:rsidR="006910AE">
        <w:t xml:space="preserve"> 2020</w:t>
      </w:r>
    </w:p>
    <w:p w14:paraId="34CDF998" w14:textId="4269C432" w:rsidR="006910AE" w:rsidRDefault="006910AE" w:rsidP="00FC5B75">
      <w:pPr>
        <w:pStyle w:val="Default"/>
        <w:rPr>
          <w:sz w:val="22"/>
          <w:szCs w:val="22"/>
        </w:rPr>
      </w:pPr>
      <w:r w:rsidRPr="006910AE">
        <w:rPr>
          <w:sz w:val="22"/>
          <w:szCs w:val="22"/>
        </w:rPr>
        <w:t>NB: this list captures project ideas and nothing is ruled in or out but merely an aid for discussion</w:t>
      </w:r>
      <w:r>
        <w:rPr>
          <w:sz w:val="22"/>
          <w:szCs w:val="22"/>
        </w:rPr>
        <w:t>.</w:t>
      </w:r>
    </w:p>
    <w:p w14:paraId="092F413C" w14:textId="77777777" w:rsidR="006910AE" w:rsidRPr="006910AE" w:rsidRDefault="006910AE" w:rsidP="00FC5B75">
      <w:pPr>
        <w:pStyle w:val="Default"/>
        <w:rPr>
          <w:sz w:val="22"/>
          <w:szCs w:val="22"/>
        </w:rPr>
      </w:pPr>
    </w:p>
    <w:p w14:paraId="18475613" w14:textId="39816A0B" w:rsidR="00FC5B75" w:rsidRPr="0036708A" w:rsidRDefault="00FC5B75" w:rsidP="00FC5B75">
      <w:pPr>
        <w:pStyle w:val="Default"/>
        <w:rPr>
          <w:sz w:val="22"/>
          <w:szCs w:val="22"/>
          <w:u w:val="single"/>
        </w:rPr>
      </w:pPr>
      <w:r>
        <w:rPr>
          <w:sz w:val="22"/>
          <w:szCs w:val="22"/>
          <w:u w:val="single"/>
        </w:rPr>
        <w:t xml:space="preserve">Early Stage Long List of Possible TIP </w:t>
      </w:r>
      <w:r w:rsidRPr="0036708A">
        <w:rPr>
          <w:sz w:val="22"/>
          <w:szCs w:val="22"/>
          <w:u w:val="single"/>
        </w:rPr>
        <w:t>Projects</w:t>
      </w:r>
      <w:r>
        <w:rPr>
          <w:sz w:val="22"/>
          <w:szCs w:val="22"/>
          <w:u w:val="single"/>
        </w:rPr>
        <w:t xml:space="preserve"> for discussion</w:t>
      </w:r>
    </w:p>
    <w:p w14:paraId="03BDC9DC" w14:textId="493B1D36" w:rsidR="00FC5B75" w:rsidRDefault="00FC5B75" w:rsidP="00FC5B75">
      <w:pPr>
        <w:pStyle w:val="Default"/>
        <w:rPr>
          <w:sz w:val="22"/>
          <w:szCs w:val="22"/>
        </w:rPr>
      </w:pPr>
    </w:p>
    <w:p w14:paraId="7B9A1F58" w14:textId="62B16B9A" w:rsidR="00FC5B75" w:rsidRDefault="00FC5B75" w:rsidP="00FC5B75">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11"/>
        <w:gridCol w:w="2649"/>
        <w:gridCol w:w="2596"/>
      </w:tblGrid>
      <w:tr w:rsidR="00FC5B75" w:rsidRPr="00FC5B75" w14:paraId="6433BDC1" w14:textId="21EBC544" w:rsidTr="00FC5B75">
        <w:tc>
          <w:tcPr>
            <w:tcW w:w="4392" w:type="dxa"/>
            <w:shd w:val="clear" w:color="auto" w:fill="auto"/>
          </w:tcPr>
          <w:p w14:paraId="1D2DB1C2" w14:textId="77777777" w:rsidR="00FC5B75" w:rsidRPr="00FC5B75" w:rsidRDefault="00FC5B75" w:rsidP="00FC5B75">
            <w:pPr>
              <w:autoSpaceDE w:val="0"/>
              <w:autoSpaceDN w:val="0"/>
              <w:spacing w:after="0" w:line="240" w:lineRule="auto"/>
              <w:rPr>
                <w:rFonts w:eastAsia="Calibri" w:cs="Arial"/>
                <w:color w:val="000000"/>
              </w:rPr>
            </w:pPr>
            <w:r w:rsidRPr="00FC5B75">
              <w:rPr>
                <w:rFonts w:eastAsia="Calibri" w:cs="Arial"/>
                <w:color w:val="000000"/>
              </w:rPr>
              <w:t>Brief project outline</w:t>
            </w:r>
          </w:p>
        </w:tc>
        <w:tc>
          <w:tcPr>
            <w:tcW w:w="4311" w:type="dxa"/>
            <w:shd w:val="clear" w:color="auto" w:fill="auto"/>
          </w:tcPr>
          <w:p w14:paraId="7D092DEC" w14:textId="77777777" w:rsidR="00FC5B75" w:rsidRPr="00FC5B75" w:rsidRDefault="00FC5B75" w:rsidP="00FC5B75">
            <w:pPr>
              <w:autoSpaceDE w:val="0"/>
              <w:autoSpaceDN w:val="0"/>
              <w:spacing w:after="0" w:line="240" w:lineRule="auto"/>
              <w:rPr>
                <w:rFonts w:eastAsia="Calibri" w:cs="Arial"/>
                <w:color w:val="000000"/>
              </w:rPr>
            </w:pPr>
            <w:r w:rsidRPr="00FC5B75">
              <w:rPr>
                <w:rFonts w:eastAsia="Calibri" w:cs="Arial"/>
                <w:color w:val="000000"/>
              </w:rPr>
              <w:t>Alignment with the intervention framework</w:t>
            </w:r>
          </w:p>
        </w:tc>
        <w:tc>
          <w:tcPr>
            <w:tcW w:w="2649" w:type="dxa"/>
          </w:tcPr>
          <w:p w14:paraId="44591F71" w14:textId="38E4CB85" w:rsidR="00FC5B75" w:rsidRPr="00FC5B75" w:rsidRDefault="00FC5B75" w:rsidP="00FC5B75">
            <w:pPr>
              <w:autoSpaceDE w:val="0"/>
              <w:autoSpaceDN w:val="0"/>
              <w:spacing w:after="0" w:line="240" w:lineRule="auto"/>
              <w:rPr>
                <w:rFonts w:eastAsia="Calibri" w:cs="Arial"/>
                <w:color w:val="000000"/>
              </w:rPr>
            </w:pPr>
            <w:r>
              <w:rPr>
                <w:rFonts w:eastAsia="Calibri" w:cs="Arial"/>
                <w:color w:val="000000"/>
              </w:rPr>
              <w:t>Project Sponsor/Lead</w:t>
            </w:r>
          </w:p>
        </w:tc>
        <w:tc>
          <w:tcPr>
            <w:tcW w:w="2596" w:type="dxa"/>
          </w:tcPr>
          <w:p w14:paraId="6CFB88CF" w14:textId="0AD2CB13" w:rsidR="00FC5B75" w:rsidRDefault="00FC5B75" w:rsidP="00FC5B75">
            <w:pPr>
              <w:autoSpaceDE w:val="0"/>
              <w:autoSpaceDN w:val="0"/>
              <w:spacing w:after="0" w:line="240" w:lineRule="auto"/>
              <w:rPr>
                <w:rFonts w:eastAsia="Calibri" w:cs="Arial"/>
                <w:color w:val="000000"/>
              </w:rPr>
            </w:pPr>
            <w:r>
              <w:rPr>
                <w:rFonts w:eastAsia="Calibri" w:cs="Arial"/>
                <w:color w:val="000000"/>
              </w:rPr>
              <w:t>Readiness/ Deliverability</w:t>
            </w:r>
          </w:p>
        </w:tc>
      </w:tr>
      <w:tr w:rsidR="00FC5B75" w:rsidRPr="0036708A" w14:paraId="6450417E" w14:textId="08BC5581" w:rsidTr="00FC5B75">
        <w:tc>
          <w:tcPr>
            <w:tcW w:w="4392" w:type="dxa"/>
            <w:shd w:val="clear" w:color="auto" w:fill="auto"/>
          </w:tcPr>
          <w:p w14:paraId="252EC444" w14:textId="77777777" w:rsidR="00FC5B75" w:rsidRDefault="00FC5B75" w:rsidP="00FA6755">
            <w:pPr>
              <w:pStyle w:val="Default"/>
            </w:pPr>
            <w:r>
              <w:t xml:space="preserve">Staveley Town Centre Masterplan, including: </w:t>
            </w:r>
          </w:p>
          <w:p w14:paraId="695DF6D7" w14:textId="1B444599" w:rsidR="00FC5B75" w:rsidRDefault="00FC5B75" w:rsidP="00FF4123">
            <w:pPr>
              <w:pStyle w:val="Default"/>
              <w:numPr>
                <w:ilvl w:val="0"/>
                <w:numId w:val="1"/>
              </w:numPr>
            </w:pPr>
            <w:r>
              <w:t>Staveley Hall improvements</w:t>
            </w:r>
          </w:p>
          <w:p w14:paraId="5D282371" w14:textId="05B096AA" w:rsidR="00FC5B75" w:rsidRDefault="006460CE" w:rsidP="00FF4123">
            <w:pPr>
              <w:pStyle w:val="Default"/>
              <w:numPr>
                <w:ilvl w:val="0"/>
                <w:numId w:val="1"/>
              </w:numPr>
            </w:pPr>
            <w:r>
              <w:t>P</w:t>
            </w:r>
            <w:r w:rsidR="00FC5B75">
              <w:t>lan to help Staveley town centre and increase footfall</w:t>
            </w:r>
          </w:p>
          <w:p w14:paraId="5109CB19" w14:textId="78A0672B" w:rsidR="00FC5B75" w:rsidRDefault="00FC5B75" w:rsidP="00FF4123">
            <w:pPr>
              <w:pStyle w:val="Default"/>
              <w:numPr>
                <w:ilvl w:val="0"/>
                <w:numId w:val="1"/>
              </w:numPr>
            </w:pPr>
            <w:r>
              <w:t>Regenerate and bring back to community use, the field behind Staveley Hall for things like events</w:t>
            </w:r>
          </w:p>
          <w:p w14:paraId="3CA2C2C0" w14:textId="16D6CBCA" w:rsidR="006460CE" w:rsidRDefault="006460CE" w:rsidP="00FF4123">
            <w:pPr>
              <w:pStyle w:val="Default"/>
              <w:numPr>
                <w:ilvl w:val="0"/>
                <w:numId w:val="1"/>
              </w:numPr>
            </w:pPr>
            <w:r>
              <w:t>Potential for Cinema</w:t>
            </w:r>
          </w:p>
          <w:p w14:paraId="6244ED30" w14:textId="54D38107" w:rsidR="00FC5B75" w:rsidRPr="0036708A" w:rsidRDefault="00FC5B75" w:rsidP="00FA6755">
            <w:pPr>
              <w:pStyle w:val="Default"/>
            </w:pPr>
          </w:p>
        </w:tc>
        <w:tc>
          <w:tcPr>
            <w:tcW w:w="4311" w:type="dxa"/>
            <w:shd w:val="clear" w:color="auto" w:fill="auto"/>
          </w:tcPr>
          <w:p w14:paraId="094C3FC7" w14:textId="445E077E" w:rsidR="00FC5B75" w:rsidRPr="0036708A" w:rsidRDefault="003134B0" w:rsidP="00FA6755">
            <w:pPr>
              <w:pStyle w:val="Default"/>
              <w:rPr>
                <w:sz w:val="22"/>
                <w:szCs w:val="22"/>
              </w:rPr>
            </w:pPr>
            <w:r>
              <w:rPr>
                <w:sz w:val="22"/>
                <w:szCs w:val="22"/>
              </w:rPr>
              <w:t xml:space="preserve">A thriving high street and town centre </w:t>
            </w:r>
          </w:p>
        </w:tc>
        <w:tc>
          <w:tcPr>
            <w:tcW w:w="2649" w:type="dxa"/>
          </w:tcPr>
          <w:p w14:paraId="4D377A00" w14:textId="2B8FC974" w:rsidR="00FC5B75" w:rsidRPr="0036708A" w:rsidRDefault="00DA3E2E" w:rsidP="00FA6755">
            <w:pPr>
              <w:pStyle w:val="Default"/>
              <w:rPr>
                <w:sz w:val="22"/>
                <w:szCs w:val="22"/>
              </w:rPr>
            </w:pPr>
            <w:r>
              <w:rPr>
                <w:sz w:val="22"/>
                <w:szCs w:val="22"/>
              </w:rPr>
              <w:t>CBC plus other private/public sector partners</w:t>
            </w:r>
          </w:p>
        </w:tc>
        <w:tc>
          <w:tcPr>
            <w:tcW w:w="2596" w:type="dxa"/>
          </w:tcPr>
          <w:p w14:paraId="3C28E358" w14:textId="77777777" w:rsidR="00FC5B75" w:rsidRPr="0036708A" w:rsidRDefault="00FC5B75" w:rsidP="00FA6755">
            <w:pPr>
              <w:pStyle w:val="Default"/>
              <w:rPr>
                <w:sz w:val="22"/>
                <w:szCs w:val="22"/>
              </w:rPr>
            </w:pPr>
          </w:p>
        </w:tc>
      </w:tr>
      <w:tr w:rsidR="00FF4123" w:rsidRPr="0036708A" w14:paraId="5C8A1CA4" w14:textId="77777777" w:rsidTr="00FC5B75">
        <w:tc>
          <w:tcPr>
            <w:tcW w:w="4392" w:type="dxa"/>
            <w:shd w:val="clear" w:color="auto" w:fill="auto"/>
          </w:tcPr>
          <w:p w14:paraId="7045807C" w14:textId="20C3454B" w:rsidR="00FF4123" w:rsidRDefault="00FF4123" w:rsidP="00FA6755">
            <w:pPr>
              <w:pStyle w:val="Default"/>
            </w:pPr>
            <w:r>
              <w:t>Staveley – Chesterfield Link Road</w:t>
            </w:r>
          </w:p>
        </w:tc>
        <w:tc>
          <w:tcPr>
            <w:tcW w:w="4311" w:type="dxa"/>
            <w:shd w:val="clear" w:color="auto" w:fill="auto"/>
          </w:tcPr>
          <w:p w14:paraId="355F025E" w14:textId="77777777" w:rsidR="00FF4123" w:rsidRPr="0036708A" w:rsidRDefault="00FF4123" w:rsidP="00FA6755">
            <w:pPr>
              <w:pStyle w:val="Default"/>
              <w:rPr>
                <w:sz w:val="22"/>
                <w:szCs w:val="22"/>
              </w:rPr>
            </w:pPr>
          </w:p>
        </w:tc>
        <w:tc>
          <w:tcPr>
            <w:tcW w:w="2649" w:type="dxa"/>
          </w:tcPr>
          <w:p w14:paraId="18EAAA97" w14:textId="10B7384F" w:rsidR="00FF4123" w:rsidRPr="0036708A" w:rsidRDefault="006460CE" w:rsidP="00FA6755">
            <w:pPr>
              <w:pStyle w:val="Default"/>
              <w:rPr>
                <w:sz w:val="22"/>
                <w:szCs w:val="22"/>
              </w:rPr>
            </w:pPr>
            <w:r>
              <w:rPr>
                <w:sz w:val="22"/>
                <w:szCs w:val="22"/>
              </w:rPr>
              <w:t>DCC</w:t>
            </w:r>
          </w:p>
        </w:tc>
        <w:tc>
          <w:tcPr>
            <w:tcW w:w="2596" w:type="dxa"/>
          </w:tcPr>
          <w:p w14:paraId="7D9F1F8B" w14:textId="77777777" w:rsidR="00FF4123" w:rsidRPr="0036708A" w:rsidRDefault="00FF4123" w:rsidP="00FA6755">
            <w:pPr>
              <w:pStyle w:val="Default"/>
              <w:rPr>
                <w:sz w:val="22"/>
                <w:szCs w:val="22"/>
              </w:rPr>
            </w:pPr>
          </w:p>
        </w:tc>
      </w:tr>
      <w:tr w:rsidR="00FF4123" w:rsidRPr="0036708A" w14:paraId="484B2223" w14:textId="77777777" w:rsidTr="00FC5B75">
        <w:tc>
          <w:tcPr>
            <w:tcW w:w="4392" w:type="dxa"/>
            <w:shd w:val="clear" w:color="auto" w:fill="auto"/>
          </w:tcPr>
          <w:p w14:paraId="1E75B5FF" w14:textId="3EFF3F67" w:rsidR="00FF4123" w:rsidRDefault="00FF4123" w:rsidP="00FA6755">
            <w:pPr>
              <w:pStyle w:val="Default"/>
            </w:pPr>
            <w:r>
              <w:t xml:space="preserve">Chesterfield Canal – restoration and bridge infrastructure </w:t>
            </w:r>
            <w:proofErr w:type="gramStart"/>
            <w:r>
              <w:t>works</w:t>
            </w:r>
            <w:proofErr w:type="gramEnd"/>
          </w:p>
        </w:tc>
        <w:tc>
          <w:tcPr>
            <w:tcW w:w="4311" w:type="dxa"/>
            <w:shd w:val="clear" w:color="auto" w:fill="auto"/>
          </w:tcPr>
          <w:p w14:paraId="24D3AF89" w14:textId="0CAAEF86" w:rsidR="00FF4123" w:rsidRPr="0036708A" w:rsidRDefault="00FF4123" w:rsidP="00FA6755">
            <w:pPr>
              <w:pStyle w:val="Default"/>
              <w:rPr>
                <w:sz w:val="22"/>
                <w:szCs w:val="22"/>
              </w:rPr>
            </w:pPr>
            <w:r>
              <w:rPr>
                <w:sz w:val="22"/>
                <w:szCs w:val="22"/>
              </w:rPr>
              <w:t xml:space="preserve">Significant asset for Staveley, strong support via </w:t>
            </w:r>
            <w:proofErr w:type="spellStart"/>
            <w:r>
              <w:rPr>
                <w:sz w:val="22"/>
                <w:szCs w:val="22"/>
              </w:rPr>
              <w:t>Mytowns</w:t>
            </w:r>
            <w:proofErr w:type="spellEnd"/>
            <w:r>
              <w:rPr>
                <w:sz w:val="22"/>
                <w:szCs w:val="22"/>
              </w:rPr>
              <w:t xml:space="preserve"> Consultation, only other Town Deal area to have a canal, alongside Swindon</w:t>
            </w:r>
          </w:p>
        </w:tc>
        <w:tc>
          <w:tcPr>
            <w:tcW w:w="2649" w:type="dxa"/>
          </w:tcPr>
          <w:p w14:paraId="6801EFF6" w14:textId="333F4622" w:rsidR="00FF4123" w:rsidRPr="0036708A" w:rsidRDefault="00FF4123" w:rsidP="00FA6755">
            <w:pPr>
              <w:pStyle w:val="Default"/>
              <w:rPr>
                <w:sz w:val="22"/>
                <w:szCs w:val="22"/>
              </w:rPr>
            </w:pPr>
            <w:r>
              <w:rPr>
                <w:sz w:val="22"/>
                <w:szCs w:val="22"/>
              </w:rPr>
              <w:t>Chesterfield Canal Trust</w:t>
            </w:r>
          </w:p>
        </w:tc>
        <w:tc>
          <w:tcPr>
            <w:tcW w:w="2596" w:type="dxa"/>
          </w:tcPr>
          <w:p w14:paraId="2D5F9E5D" w14:textId="77777777" w:rsidR="00FF4123" w:rsidRPr="0036708A" w:rsidRDefault="00FF4123" w:rsidP="00FA6755">
            <w:pPr>
              <w:pStyle w:val="Default"/>
              <w:rPr>
                <w:sz w:val="22"/>
                <w:szCs w:val="22"/>
              </w:rPr>
            </w:pPr>
          </w:p>
        </w:tc>
      </w:tr>
      <w:tr w:rsidR="00FF4123" w:rsidRPr="0036708A" w14:paraId="1492B401" w14:textId="77777777" w:rsidTr="00FC5B75">
        <w:tc>
          <w:tcPr>
            <w:tcW w:w="4392" w:type="dxa"/>
            <w:shd w:val="clear" w:color="auto" w:fill="auto"/>
          </w:tcPr>
          <w:p w14:paraId="22E80E9D" w14:textId="7F38C026" w:rsidR="00FF4123" w:rsidRDefault="00FF4123" w:rsidP="00FA6755">
            <w:pPr>
              <w:pStyle w:val="Default"/>
            </w:pPr>
            <w:r>
              <w:t>HS2 and Staveley Depot</w:t>
            </w:r>
          </w:p>
        </w:tc>
        <w:tc>
          <w:tcPr>
            <w:tcW w:w="4311" w:type="dxa"/>
            <w:shd w:val="clear" w:color="auto" w:fill="auto"/>
          </w:tcPr>
          <w:p w14:paraId="3B85675D" w14:textId="6CE8DA82" w:rsidR="00FF4123" w:rsidRPr="0036708A" w:rsidRDefault="0016036C" w:rsidP="00FA6755">
            <w:pPr>
              <w:pStyle w:val="Default"/>
              <w:rPr>
                <w:sz w:val="22"/>
                <w:szCs w:val="22"/>
              </w:rPr>
            </w:pPr>
            <w:r>
              <w:rPr>
                <w:sz w:val="22"/>
                <w:szCs w:val="22"/>
              </w:rPr>
              <w:t>Significant strategic project</w:t>
            </w:r>
          </w:p>
        </w:tc>
        <w:tc>
          <w:tcPr>
            <w:tcW w:w="2649" w:type="dxa"/>
          </w:tcPr>
          <w:p w14:paraId="07DB3BD2" w14:textId="7B4A50B8" w:rsidR="00FF4123" w:rsidRPr="0036708A" w:rsidRDefault="006460CE" w:rsidP="00FA6755">
            <w:pPr>
              <w:pStyle w:val="Default"/>
              <w:rPr>
                <w:sz w:val="22"/>
                <w:szCs w:val="22"/>
              </w:rPr>
            </w:pPr>
            <w:r>
              <w:rPr>
                <w:sz w:val="22"/>
                <w:szCs w:val="22"/>
              </w:rPr>
              <w:t>HS2</w:t>
            </w:r>
          </w:p>
        </w:tc>
        <w:tc>
          <w:tcPr>
            <w:tcW w:w="2596" w:type="dxa"/>
          </w:tcPr>
          <w:p w14:paraId="0092A363" w14:textId="77777777" w:rsidR="00FF4123" w:rsidRPr="0036708A" w:rsidRDefault="00FF4123" w:rsidP="00FA6755">
            <w:pPr>
              <w:pStyle w:val="Default"/>
              <w:rPr>
                <w:sz w:val="22"/>
                <w:szCs w:val="22"/>
              </w:rPr>
            </w:pPr>
          </w:p>
        </w:tc>
      </w:tr>
      <w:tr w:rsidR="006460CE" w:rsidRPr="0036708A" w14:paraId="69F55E0B" w14:textId="77777777" w:rsidTr="00FC5B75">
        <w:tc>
          <w:tcPr>
            <w:tcW w:w="4392" w:type="dxa"/>
            <w:shd w:val="clear" w:color="auto" w:fill="auto"/>
          </w:tcPr>
          <w:p w14:paraId="06144044" w14:textId="50CCCF5B" w:rsidR="006460CE" w:rsidRDefault="006460CE" w:rsidP="00FA6755">
            <w:pPr>
              <w:pStyle w:val="Default"/>
            </w:pPr>
            <w:r>
              <w:t>Construction Skills Hub</w:t>
            </w:r>
          </w:p>
        </w:tc>
        <w:tc>
          <w:tcPr>
            <w:tcW w:w="4311" w:type="dxa"/>
            <w:shd w:val="clear" w:color="auto" w:fill="auto"/>
          </w:tcPr>
          <w:p w14:paraId="51F21D5C" w14:textId="77777777" w:rsidR="006460CE" w:rsidRPr="0036708A" w:rsidRDefault="006460CE" w:rsidP="00FA6755">
            <w:pPr>
              <w:pStyle w:val="Default"/>
              <w:rPr>
                <w:sz w:val="22"/>
                <w:szCs w:val="22"/>
              </w:rPr>
            </w:pPr>
          </w:p>
        </w:tc>
        <w:tc>
          <w:tcPr>
            <w:tcW w:w="2649" w:type="dxa"/>
          </w:tcPr>
          <w:p w14:paraId="505D3627" w14:textId="34872F66" w:rsidR="006460CE" w:rsidRPr="0036708A" w:rsidRDefault="009031FA" w:rsidP="00FA6755">
            <w:pPr>
              <w:pStyle w:val="Default"/>
              <w:rPr>
                <w:sz w:val="22"/>
                <w:szCs w:val="22"/>
              </w:rPr>
            </w:pPr>
            <w:r>
              <w:rPr>
                <w:sz w:val="22"/>
                <w:szCs w:val="22"/>
              </w:rPr>
              <w:t>CBC &amp; Devonshire Developments</w:t>
            </w:r>
          </w:p>
        </w:tc>
        <w:tc>
          <w:tcPr>
            <w:tcW w:w="2596" w:type="dxa"/>
          </w:tcPr>
          <w:p w14:paraId="22F346F1" w14:textId="7491170C" w:rsidR="006460CE" w:rsidRPr="0036708A" w:rsidRDefault="009031FA" w:rsidP="00FA6755">
            <w:pPr>
              <w:pStyle w:val="Default"/>
              <w:rPr>
                <w:sz w:val="22"/>
                <w:szCs w:val="22"/>
              </w:rPr>
            </w:pPr>
            <w:r>
              <w:rPr>
                <w:sz w:val="22"/>
                <w:szCs w:val="22"/>
              </w:rPr>
              <w:t xml:space="preserve">To capitalise on the </w:t>
            </w:r>
            <w:proofErr w:type="gramStart"/>
            <w:r>
              <w:rPr>
                <w:sz w:val="22"/>
                <w:szCs w:val="22"/>
              </w:rPr>
              <w:t>large scale</w:t>
            </w:r>
            <w:proofErr w:type="gramEnd"/>
            <w:r>
              <w:rPr>
                <w:sz w:val="22"/>
                <w:szCs w:val="22"/>
              </w:rPr>
              <w:t xml:space="preserve"> construction of commercial properties and housing </w:t>
            </w:r>
          </w:p>
        </w:tc>
      </w:tr>
      <w:tr w:rsidR="006460CE" w:rsidRPr="0036708A" w14:paraId="36A8248B" w14:textId="77777777" w:rsidTr="00FC5B75">
        <w:tc>
          <w:tcPr>
            <w:tcW w:w="4392" w:type="dxa"/>
            <w:shd w:val="clear" w:color="auto" w:fill="auto"/>
          </w:tcPr>
          <w:p w14:paraId="1510D803" w14:textId="035F5FF6" w:rsidR="006460CE" w:rsidRDefault="006460CE" w:rsidP="00FA6755">
            <w:pPr>
              <w:pStyle w:val="Default"/>
            </w:pPr>
            <w:r>
              <w:lastRenderedPageBreak/>
              <w:t>Trials Motorcycle Park</w:t>
            </w:r>
            <w:r w:rsidR="006910AE">
              <w:t xml:space="preserve"> &amp; skills training in motor maintenance (a site needs to be identified for a circuit that can develop a learning centre for disaffected young people </w:t>
            </w:r>
          </w:p>
        </w:tc>
        <w:tc>
          <w:tcPr>
            <w:tcW w:w="4311" w:type="dxa"/>
            <w:shd w:val="clear" w:color="auto" w:fill="auto"/>
          </w:tcPr>
          <w:p w14:paraId="12770060" w14:textId="77777777" w:rsidR="009031FA" w:rsidRDefault="009031FA" w:rsidP="00FA6755">
            <w:pPr>
              <w:pStyle w:val="Default"/>
              <w:rPr>
                <w:sz w:val="22"/>
                <w:szCs w:val="22"/>
              </w:rPr>
            </w:pPr>
          </w:p>
          <w:p w14:paraId="576FE0A7" w14:textId="77777777" w:rsidR="009031FA" w:rsidRDefault="009031FA" w:rsidP="00FA6755">
            <w:pPr>
              <w:pStyle w:val="Default"/>
              <w:rPr>
                <w:sz w:val="22"/>
                <w:szCs w:val="22"/>
              </w:rPr>
            </w:pPr>
          </w:p>
          <w:p w14:paraId="423BA190" w14:textId="7C64EFF9" w:rsidR="006460CE" w:rsidRPr="0036708A" w:rsidRDefault="009031FA" w:rsidP="00FA6755">
            <w:pPr>
              <w:pStyle w:val="Default"/>
              <w:rPr>
                <w:sz w:val="22"/>
                <w:szCs w:val="22"/>
              </w:rPr>
            </w:pPr>
            <w:r>
              <w:rPr>
                <w:sz w:val="22"/>
                <w:szCs w:val="22"/>
              </w:rPr>
              <w:t>Skills training</w:t>
            </w:r>
            <w:r w:rsidR="006910AE">
              <w:rPr>
                <w:sz w:val="22"/>
                <w:szCs w:val="22"/>
              </w:rPr>
              <w:t xml:space="preserve"> and diversionary activities that reduce </w:t>
            </w:r>
            <w:proofErr w:type="spellStart"/>
            <w:r w:rsidR="006910AE">
              <w:rPr>
                <w:sz w:val="22"/>
                <w:szCs w:val="22"/>
              </w:rPr>
              <w:t>anti social</w:t>
            </w:r>
            <w:proofErr w:type="spellEnd"/>
            <w:r w:rsidR="006910AE">
              <w:rPr>
                <w:sz w:val="22"/>
                <w:szCs w:val="22"/>
              </w:rPr>
              <w:t xml:space="preserve"> behaviour</w:t>
            </w:r>
          </w:p>
        </w:tc>
        <w:tc>
          <w:tcPr>
            <w:tcW w:w="2649" w:type="dxa"/>
          </w:tcPr>
          <w:p w14:paraId="04B1ED2E" w14:textId="0E732FC7" w:rsidR="006460CE" w:rsidRPr="0036708A" w:rsidRDefault="006910AE" w:rsidP="00FA6755">
            <w:pPr>
              <w:pStyle w:val="Default"/>
              <w:rPr>
                <w:sz w:val="22"/>
                <w:szCs w:val="22"/>
              </w:rPr>
            </w:pPr>
            <w:r>
              <w:rPr>
                <w:sz w:val="22"/>
                <w:szCs w:val="22"/>
              </w:rPr>
              <w:t>TBA</w:t>
            </w:r>
          </w:p>
        </w:tc>
        <w:tc>
          <w:tcPr>
            <w:tcW w:w="2596" w:type="dxa"/>
          </w:tcPr>
          <w:p w14:paraId="38E4A559" w14:textId="77777777" w:rsidR="006460CE" w:rsidRPr="0036708A" w:rsidRDefault="006460CE" w:rsidP="00FA6755">
            <w:pPr>
              <w:pStyle w:val="Default"/>
              <w:rPr>
                <w:sz w:val="22"/>
                <w:szCs w:val="22"/>
              </w:rPr>
            </w:pPr>
          </w:p>
        </w:tc>
      </w:tr>
      <w:tr w:rsidR="00FF4123" w:rsidRPr="0036708A" w14:paraId="1F1B23C0" w14:textId="77777777" w:rsidTr="00FC5B75">
        <w:tc>
          <w:tcPr>
            <w:tcW w:w="4392" w:type="dxa"/>
            <w:shd w:val="clear" w:color="auto" w:fill="auto"/>
          </w:tcPr>
          <w:p w14:paraId="58F2846B" w14:textId="1EECD4D0" w:rsidR="00FF4123" w:rsidRDefault="006910AE" w:rsidP="00FA6755">
            <w:pPr>
              <w:pStyle w:val="Default"/>
            </w:pPr>
            <w:r>
              <w:t xml:space="preserve">Barrow Hill Community Trust – </w:t>
            </w:r>
          </w:p>
          <w:p w14:paraId="138BBB2F" w14:textId="77777777" w:rsidR="006910AE" w:rsidRDefault="006910AE" w:rsidP="006910AE">
            <w:pPr>
              <w:pStyle w:val="Default"/>
              <w:numPr>
                <w:ilvl w:val="0"/>
                <w:numId w:val="2"/>
              </w:numPr>
            </w:pPr>
            <w:proofErr w:type="gramStart"/>
            <w:r>
              <w:t>60 unit</w:t>
            </w:r>
            <w:proofErr w:type="gramEnd"/>
            <w:r>
              <w:t xml:space="preserve"> community-led regeneration &amp; housing project to create a modular housing training/construction facility</w:t>
            </w:r>
          </w:p>
          <w:p w14:paraId="1B83674F" w14:textId="40840959" w:rsidR="006910AE" w:rsidRDefault="006910AE" w:rsidP="006910AE">
            <w:pPr>
              <w:pStyle w:val="Default"/>
              <w:numPr>
                <w:ilvl w:val="0"/>
                <w:numId w:val="2"/>
              </w:numPr>
            </w:pPr>
            <w:r>
              <w:t>refurbishment of the Barrow Hill Memorial Hall is a £2.5m project</w:t>
            </w:r>
          </w:p>
        </w:tc>
        <w:tc>
          <w:tcPr>
            <w:tcW w:w="4311" w:type="dxa"/>
            <w:shd w:val="clear" w:color="auto" w:fill="auto"/>
          </w:tcPr>
          <w:p w14:paraId="1B1EF195" w14:textId="77777777" w:rsidR="00FF4123" w:rsidRPr="0036708A" w:rsidRDefault="00FF4123" w:rsidP="00FA6755">
            <w:pPr>
              <w:pStyle w:val="Default"/>
              <w:rPr>
                <w:sz w:val="22"/>
                <w:szCs w:val="22"/>
              </w:rPr>
            </w:pPr>
          </w:p>
        </w:tc>
        <w:tc>
          <w:tcPr>
            <w:tcW w:w="2649" w:type="dxa"/>
          </w:tcPr>
          <w:p w14:paraId="0D26973B" w14:textId="1785F295" w:rsidR="00FF4123" w:rsidRPr="0036708A" w:rsidRDefault="006910AE" w:rsidP="00FA6755">
            <w:pPr>
              <w:pStyle w:val="Default"/>
              <w:rPr>
                <w:sz w:val="22"/>
                <w:szCs w:val="22"/>
              </w:rPr>
            </w:pPr>
            <w:r>
              <w:t>Barrow Hill Community Trust (could link with the Construction Skills Hub)</w:t>
            </w:r>
          </w:p>
        </w:tc>
        <w:tc>
          <w:tcPr>
            <w:tcW w:w="2596" w:type="dxa"/>
          </w:tcPr>
          <w:p w14:paraId="1C846B75" w14:textId="77777777" w:rsidR="00FF4123" w:rsidRPr="0036708A" w:rsidRDefault="00FF4123" w:rsidP="00FA6755">
            <w:pPr>
              <w:pStyle w:val="Default"/>
              <w:rPr>
                <w:sz w:val="22"/>
                <w:szCs w:val="22"/>
              </w:rPr>
            </w:pPr>
          </w:p>
        </w:tc>
      </w:tr>
      <w:tr w:rsidR="00FF4123" w:rsidRPr="0036708A" w14:paraId="07093A5E" w14:textId="77777777" w:rsidTr="00FC5B75">
        <w:tc>
          <w:tcPr>
            <w:tcW w:w="4392" w:type="dxa"/>
            <w:shd w:val="clear" w:color="auto" w:fill="auto"/>
          </w:tcPr>
          <w:p w14:paraId="08C3A671" w14:textId="77777777" w:rsidR="00FF4123" w:rsidRDefault="00FF4123" w:rsidP="00FA6755">
            <w:pPr>
              <w:pStyle w:val="Default"/>
            </w:pPr>
          </w:p>
          <w:p w14:paraId="0622537B" w14:textId="27CE29D1" w:rsidR="00FF4123" w:rsidRDefault="00FF4123" w:rsidP="00FA6755">
            <w:pPr>
              <w:pStyle w:val="Default"/>
            </w:pPr>
            <w:r>
              <w:t>Barrow Hill – Sheffield passenger rail line</w:t>
            </w:r>
          </w:p>
          <w:p w14:paraId="290D428D" w14:textId="77777777" w:rsidR="00FF4123" w:rsidRDefault="00FF4123" w:rsidP="00FA6755">
            <w:pPr>
              <w:pStyle w:val="Default"/>
            </w:pPr>
          </w:p>
          <w:p w14:paraId="17E0031B" w14:textId="6DE9451C" w:rsidR="00FF4123" w:rsidRPr="0036708A" w:rsidRDefault="00FF4123" w:rsidP="00FA6755">
            <w:pPr>
              <w:pStyle w:val="Default"/>
            </w:pPr>
          </w:p>
        </w:tc>
        <w:tc>
          <w:tcPr>
            <w:tcW w:w="4311" w:type="dxa"/>
            <w:shd w:val="clear" w:color="auto" w:fill="auto"/>
          </w:tcPr>
          <w:p w14:paraId="07E3E4D3" w14:textId="77777777" w:rsidR="00FF4123" w:rsidRPr="0036708A" w:rsidRDefault="00FF4123" w:rsidP="00FA6755">
            <w:pPr>
              <w:pStyle w:val="Default"/>
              <w:rPr>
                <w:sz w:val="22"/>
                <w:szCs w:val="22"/>
              </w:rPr>
            </w:pPr>
          </w:p>
        </w:tc>
        <w:tc>
          <w:tcPr>
            <w:tcW w:w="2649" w:type="dxa"/>
          </w:tcPr>
          <w:p w14:paraId="4CCE271A" w14:textId="1A96786D" w:rsidR="00FF4123" w:rsidRPr="0036708A" w:rsidRDefault="006460CE" w:rsidP="00FA6755">
            <w:pPr>
              <w:pStyle w:val="Default"/>
              <w:rPr>
                <w:sz w:val="22"/>
                <w:szCs w:val="22"/>
              </w:rPr>
            </w:pPr>
            <w:r>
              <w:rPr>
                <w:sz w:val="22"/>
                <w:szCs w:val="22"/>
              </w:rPr>
              <w:t>Sheffield City Region, CBC DCC Transport for the North</w:t>
            </w:r>
          </w:p>
        </w:tc>
        <w:tc>
          <w:tcPr>
            <w:tcW w:w="2596" w:type="dxa"/>
          </w:tcPr>
          <w:p w14:paraId="1BBEEFFB" w14:textId="77777777" w:rsidR="00FF4123" w:rsidRPr="0036708A" w:rsidRDefault="00FF4123" w:rsidP="00FA6755">
            <w:pPr>
              <w:pStyle w:val="Default"/>
              <w:rPr>
                <w:sz w:val="22"/>
                <w:szCs w:val="22"/>
              </w:rPr>
            </w:pPr>
          </w:p>
        </w:tc>
      </w:tr>
      <w:tr w:rsidR="00FF4123" w:rsidRPr="0036708A" w14:paraId="5CC2ADD7" w14:textId="77777777" w:rsidTr="00FC5B75">
        <w:tc>
          <w:tcPr>
            <w:tcW w:w="4392" w:type="dxa"/>
            <w:shd w:val="clear" w:color="auto" w:fill="auto"/>
          </w:tcPr>
          <w:p w14:paraId="350C0FC3" w14:textId="6F2D2392" w:rsidR="00FF4123" w:rsidRDefault="006460CE" w:rsidP="00FA6755">
            <w:pPr>
              <w:pStyle w:val="Default"/>
            </w:pPr>
            <w:r>
              <w:t xml:space="preserve">New </w:t>
            </w:r>
            <w:r w:rsidR="00FF4123">
              <w:t>Housing Schemes – 2000 new homes</w:t>
            </w:r>
          </w:p>
          <w:p w14:paraId="1C7F76B9" w14:textId="79F49D43" w:rsidR="006460CE" w:rsidRDefault="006460CE" w:rsidP="00FA6755">
            <w:pPr>
              <w:pStyle w:val="Default"/>
            </w:pPr>
            <w:r>
              <w:t xml:space="preserve">Various developers </w:t>
            </w:r>
            <w:proofErr w:type="spellStart"/>
            <w:r>
              <w:t>inc</w:t>
            </w:r>
            <w:proofErr w:type="spellEnd"/>
            <w:r>
              <w:t xml:space="preserve">: </w:t>
            </w:r>
          </w:p>
          <w:p w14:paraId="5240B5B7" w14:textId="57678793" w:rsidR="00FF4123" w:rsidRPr="0036708A" w:rsidRDefault="00FF4123" w:rsidP="00FA6755">
            <w:pPr>
              <w:pStyle w:val="Default"/>
            </w:pPr>
            <w:proofErr w:type="gramStart"/>
            <w:r>
              <w:t xml:space="preserve">Chatsworth </w:t>
            </w:r>
            <w:r w:rsidR="0059146F">
              <w:t xml:space="preserve"> -</w:t>
            </w:r>
            <w:proofErr w:type="gramEnd"/>
            <w:r w:rsidR="0059146F">
              <w:t xml:space="preserve"> </w:t>
            </w:r>
            <w:proofErr w:type="spellStart"/>
            <w:r w:rsidR="006460CE">
              <w:t>Mastin</w:t>
            </w:r>
            <w:proofErr w:type="spellEnd"/>
            <w:r w:rsidR="006460CE">
              <w:t xml:space="preserve"> Moor</w:t>
            </w:r>
            <w:r>
              <w:t xml:space="preserve"> 650</w:t>
            </w:r>
          </w:p>
        </w:tc>
        <w:tc>
          <w:tcPr>
            <w:tcW w:w="4311" w:type="dxa"/>
            <w:shd w:val="clear" w:color="auto" w:fill="auto"/>
          </w:tcPr>
          <w:p w14:paraId="17881E1A" w14:textId="77777777" w:rsidR="00FF4123" w:rsidRPr="0036708A" w:rsidRDefault="00FF4123" w:rsidP="00FA6755">
            <w:pPr>
              <w:pStyle w:val="Default"/>
              <w:rPr>
                <w:sz w:val="22"/>
                <w:szCs w:val="22"/>
              </w:rPr>
            </w:pPr>
          </w:p>
        </w:tc>
        <w:tc>
          <w:tcPr>
            <w:tcW w:w="2649" w:type="dxa"/>
          </w:tcPr>
          <w:p w14:paraId="5BF77F25" w14:textId="77777777" w:rsidR="00FF4123" w:rsidRPr="0036708A" w:rsidRDefault="00FF4123" w:rsidP="00FA6755">
            <w:pPr>
              <w:pStyle w:val="Default"/>
              <w:rPr>
                <w:sz w:val="22"/>
                <w:szCs w:val="22"/>
              </w:rPr>
            </w:pPr>
          </w:p>
        </w:tc>
        <w:tc>
          <w:tcPr>
            <w:tcW w:w="2596" w:type="dxa"/>
          </w:tcPr>
          <w:p w14:paraId="40D59505" w14:textId="77777777" w:rsidR="00FF4123" w:rsidRPr="0036708A" w:rsidRDefault="00FF4123" w:rsidP="00FA6755">
            <w:pPr>
              <w:pStyle w:val="Default"/>
              <w:rPr>
                <w:sz w:val="22"/>
                <w:szCs w:val="22"/>
              </w:rPr>
            </w:pPr>
          </w:p>
        </w:tc>
      </w:tr>
      <w:tr w:rsidR="006460CE" w:rsidRPr="0036708A" w14:paraId="26CC84A1" w14:textId="77777777" w:rsidTr="00FC5B75">
        <w:tc>
          <w:tcPr>
            <w:tcW w:w="4392" w:type="dxa"/>
            <w:shd w:val="clear" w:color="auto" w:fill="auto"/>
          </w:tcPr>
          <w:p w14:paraId="4E6936BB" w14:textId="2CF69BAF" w:rsidR="006460CE" w:rsidRDefault="006460CE" w:rsidP="00FA6755">
            <w:pPr>
              <w:pStyle w:val="Default"/>
            </w:pPr>
            <w:r>
              <w:t xml:space="preserve">Housing Redevelopment </w:t>
            </w:r>
            <w:proofErr w:type="spellStart"/>
            <w:r w:rsidR="0059146F">
              <w:t>inc</w:t>
            </w:r>
            <w:proofErr w:type="spellEnd"/>
            <w:r w:rsidR="0059146F">
              <w:t xml:space="preserve">: </w:t>
            </w:r>
          </w:p>
          <w:p w14:paraId="0BBF468B" w14:textId="77777777" w:rsidR="0059146F" w:rsidRDefault="0059146F" w:rsidP="00FA6755">
            <w:pPr>
              <w:pStyle w:val="Default"/>
            </w:pPr>
          </w:p>
          <w:p w14:paraId="13F28B72" w14:textId="77777777" w:rsidR="006460CE" w:rsidRDefault="006460CE" w:rsidP="006460CE">
            <w:pPr>
              <w:pStyle w:val="Default"/>
            </w:pPr>
            <w:r>
              <w:t>£7.1m CBC housing investment at Barrow Hill</w:t>
            </w:r>
          </w:p>
          <w:p w14:paraId="10B7BD24" w14:textId="453CF3FE" w:rsidR="006460CE" w:rsidRDefault="006460CE" w:rsidP="00FA6755">
            <w:pPr>
              <w:pStyle w:val="Default"/>
            </w:pPr>
          </w:p>
        </w:tc>
        <w:tc>
          <w:tcPr>
            <w:tcW w:w="4311" w:type="dxa"/>
            <w:shd w:val="clear" w:color="auto" w:fill="auto"/>
          </w:tcPr>
          <w:p w14:paraId="73DFB63D" w14:textId="77777777" w:rsidR="006460CE" w:rsidRPr="0036708A" w:rsidRDefault="006460CE" w:rsidP="00FA6755">
            <w:pPr>
              <w:pStyle w:val="Default"/>
              <w:rPr>
                <w:sz w:val="22"/>
                <w:szCs w:val="22"/>
              </w:rPr>
            </w:pPr>
          </w:p>
        </w:tc>
        <w:tc>
          <w:tcPr>
            <w:tcW w:w="2649" w:type="dxa"/>
          </w:tcPr>
          <w:p w14:paraId="685F29C9" w14:textId="77777777" w:rsidR="006460CE" w:rsidRDefault="006460CE" w:rsidP="00FA6755">
            <w:pPr>
              <w:pStyle w:val="Default"/>
              <w:rPr>
                <w:sz w:val="22"/>
                <w:szCs w:val="22"/>
              </w:rPr>
            </w:pPr>
          </w:p>
        </w:tc>
        <w:tc>
          <w:tcPr>
            <w:tcW w:w="2596" w:type="dxa"/>
          </w:tcPr>
          <w:p w14:paraId="25D2E5F4" w14:textId="77777777" w:rsidR="006460CE" w:rsidRPr="0036708A" w:rsidRDefault="006460CE" w:rsidP="00FA6755">
            <w:pPr>
              <w:pStyle w:val="Default"/>
              <w:rPr>
                <w:sz w:val="22"/>
                <w:szCs w:val="22"/>
              </w:rPr>
            </w:pPr>
          </w:p>
        </w:tc>
      </w:tr>
      <w:tr w:rsidR="00FF4123" w:rsidRPr="0036708A" w14:paraId="39124DA4" w14:textId="77777777" w:rsidTr="00FC5B75">
        <w:tc>
          <w:tcPr>
            <w:tcW w:w="4392" w:type="dxa"/>
            <w:shd w:val="clear" w:color="auto" w:fill="auto"/>
          </w:tcPr>
          <w:p w14:paraId="4DB7CD7E" w14:textId="6818424E" w:rsidR="00FF4123" w:rsidRPr="0036708A" w:rsidRDefault="00FF4123" w:rsidP="00FA6755">
            <w:pPr>
              <w:pStyle w:val="Default"/>
            </w:pPr>
            <w:r>
              <w:t>Hartington Works Site – Employment site</w:t>
            </w:r>
          </w:p>
        </w:tc>
        <w:tc>
          <w:tcPr>
            <w:tcW w:w="4311" w:type="dxa"/>
            <w:shd w:val="clear" w:color="auto" w:fill="auto"/>
          </w:tcPr>
          <w:p w14:paraId="1F533A7F" w14:textId="77777777" w:rsidR="00FF4123" w:rsidRPr="0036708A" w:rsidRDefault="00FF4123" w:rsidP="00FA6755">
            <w:pPr>
              <w:pStyle w:val="Default"/>
              <w:rPr>
                <w:sz w:val="22"/>
                <w:szCs w:val="22"/>
              </w:rPr>
            </w:pPr>
          </w:p>
        </w:tc>
        <w:tc>
          <w:tcPr>
            <w:tcW w:w="2649" w:type="dxa"/>
          </w:tcPr>
          <w:p w14:paraId="56F7E284" w14:textId="7599BE4D" w:rsidR="00FF4123" w:rsidRPr="0036708A" w:rsidRDefault="00FF4123" w:rsidP="00FA6755">
            <w:pPr>
              <w:pStyle w:val="Default"/>
              <w:rPr>
                <w:sz w:val="22"/>
                <w:szCs w:val="22"/>
              </w:rPr>
            </w:pPr>
            <w:r>
              <w:rPr>
                <w:sz w:val="22"/>
                <w:szCs w:val="22"/>
              </w:rPr>
              <w:t>SUON</w:t>
            </w:r>
          </w:p>
        </w:tc>
        <w:tc>
          <w:tcPr>
            <w:tcW w:w="2596" w:type="dxa"/>
          </w:tcPr>
          <w:p w14:paraId="7EB9CD9F" w14:textId="77777777" w:rsidR="00FF4123" w:rsidRPr="0036708A" w:rsidRDefault="00FF4123" w:rsidP="00FA6755">
            <w:pPr>
              <w:pStyle w:val="Default"/>
              <w:rPr>
                <w:sz w:val="22"/>
                <w:szCs w:val="22"/>
              </w:rPr>
            </w:pPr>
          </w:p>
        </w:tc>
      </w:tr>
      <w:tr w:rsidR="006460CE" w:rsidRPr="0036708A" w14:paraId="6AE8906E" w14:textId="77777777" w:rsidTr="00FC5B75">
        <w:tc>
          <w:tcPr>
            <w:tcW w:w="4392" w:type="dxa"/>
            <w:shd w:val="clear" w:color="auto" w:fill="auto"/>
          </w:tcPr>
          <w:p w14:paraId="6FD0D104" w14:textId="1C94C83E" w:rsidR="006460CE" w:rsidRDefault="006460CE" w:rsidP="00FA6755">
            <w:pPr>
              <w:pStyle w:val="Default"/>
            </w:pPr>
            <w:r>
              <w:t xml:space="preserve">Hartington Works Site – Employment site </w:t>
            </w:r>
          </w:p>
        </w:tc>
        <w:tc>
          <w:tcPr>
            <w:tcW w:w="4311" w:type="dxa"/>
            <w:shd w:val="clear" w:color="auto" w:fill="auto"/>
          </w:tcPr>
          <w:p w14:paraId="38EF7293" w14:textId="77777777" w:rsidR="006460CE" w:rsidRPr="0036708A" w:rsidRDefault="006460CE" w:rsidP="00FA6755">
            <w:pPr>
              <w:pStyle w:val="Default"/>
              <w:rPr>
                <w:sz w:val="22"/>
                <w:szCs w:val="22"/>
              </w:rPr>
            </w:pPr>
          </w:p>
        </w:tc>
        <w:tc>
          <w:tcPr>
            <w:tcW w:w="2649" w:type="dxa"/>
          </w:tcPr>
          <w:p w14:paraId="550B4F70" w14:textId="2AB8BF2A" w:rsidR="006460CE" w:rsidRPr="0036708A" w:rsidRDefault="006460CE" w:rsidP="00FA6755">
            <w:pPr>
              <w:pStyle w:val="Default"/>
              <w:rPr>
                <w:sz w:val="22"/>
                <w:szCs w:val="22"/>
              </w:rPr>
            </w:pPr>
            <w:r>
              <w:rPr>
                <w:sz w:val="22"/>
                <w:szCs w:val="22"/>
              </w:rPr>
              <w:t xml:space="preserve">Devonshire </w:t>
            </w:r>
            <w:proofErr w:type="spellStart"/>
            <w:r>
              <w:rPr>
                <w:sz w:val="22"/>
                <w:szCs w:val="22"/>
              </w:rPr>
              <w:t>Proerties</w:t>
            </w:r>
            <w:proofErr w:type="spellEnd"/>
            <w:r>
              <w:rPr>
                <w:sz w:val="22"/>
                <w:szCs w:val="22"/>
              </w:rPr>
              <w:t xml:space="preserve"> (</w:t>
            </w:r>
            <w:proofErr w:type="gramStart"/>
            <w:r>
              <w:rPr>
                <w:sz w:val="22"/>
                <w:szCs w:val="22"/>
              </w:rPr>
              <w:t>Chatsworth )</w:t>
            </w:r>
            <w:proofErr w:type="gramEnd"/>
          </w:p>
        </w:tc>
        <w:tc>
          <w:tcPr>
            <w:tcW w:w="2596" w:type="dxa"/>
          </w:tcPr>
          <w:p w14:paraId="2DF353F4" w14:textId="77777777" w:rsidR="006460CE" w:rsidRPr="0036708A" w:rsidRDefault="006460CE" w:rsidP="00FA6755">
            <w:pPr>
              <w:pStyle w:val="Default"/>
              <w:rPr>
                <w:sz w:val="22"/>
                <w:szCs w:val="22"/>
              </w:rPr>
            </w:pPr>
          </w:p>
        </w:tc>
      </w:tr>
      <w:tr w:rsidR="00FF4123" w:rsidRPr="0036708A" w14:paraId="6078C08E" w14:textId="77777777" w:rsidTr="00FC5B75">
        <w:tc>
          <w:tcPr>
            <w:tcW w:w="4392" w:type="dxa"/>
            <w:shd w:val="clear" w:color="auto" w:fill="auto"/>
          </w:tcPr>
          <w:p w14:paraId="3C62A0F3" w14:textId="2A9E6665" w:rsidR="00FF4123" w:rsidRPr="0036708A" w:rsidRDefault="00FF4123" w:rsidP="00FA6755">
            <w:pPr>
              <w:pStyle w:val="Default"/>
            </w:pPr>
            <w:r>
              <w:t xml:space="preserve">multi modal transport (road, rail, cycling, </w:t>
            </w:r>
            <w:r w:rsidR="006460CE">
              <w:t>walking, waterways</w:t>
            </w:r>
            <w:r>
              <w:t>) to</w:t>
            </w:r>
            <w:r w:rsidR="008A59B7">
              <w:t xml:space="preserve"> ensure </w:t>
            </w:r>
            <w:r w:rsidR="006460CE">
              <w:lastRenderedPageBreak/>
              <w:t xml:space="preserve">connectivity with employment and intra community </w:t>
            </w:r>
          </w:p>
        </w:tc>
        <w:tc>
          <w:tcPr>
            <w:tcW w:w="4311" w:type="dxa"/>
            <w:shd w:val="clear" w:color="auto" w:fill="auto"/>
          </w:tcPr>
          <w:p w14:paraId="2EC5586E" w14:textId="77777777" w:rsidR="00FF4123" w:rsidRPr="0036708A" w:rsidRDefault="00FF4123" w:rsidP="00FA6755">
            <w:pPr>
              <w:pStyle w:val="Default"/>
              <w:rPr>
                <w:sz w:val="22"/>
                <w:szCs w:val="22"/>
              </w:rPr>
            </w:pPr>
          </w:p>
        </w:tc>
        <w:tc>
          <w:tcPr>
            <w:tcW w:w="2649" w:type="dxa"/>
          </w:tcPr>
          <w:p w14:paraId="63DE38BE" w14:textId="1678E30F" w:rsidR="00FF4123" w:rsidRPr="0036708A" w:rsidRDefault="006460CE" w:rsidP="00FA6755">
            <w:pPr>
              <w:pStyle w:val="Default"/>
              <w:rPr>
                <w:sz w:val="22"/>
                <w:szCs w:val="22"/>
              </w:rPr>
            </w:pPr>
            <w:r>
              <w:rPr>
                <w:sz w:val="22"/>
                <w:szCs w:val="22"/>
              </w:rPr>
              <w:t>DCC</w:t>
            </w:r>
          </w:p>
        </w:tc>
        <w:tc>
          <w:tcPr>
            <w:tcW w:w="2596" w:type="dxa"/>
          </w:tcPr>
          <w:p w14:paraId="5F33C77C" w14:textId="77777777" w:rsidR="00FF4123" w:rsidRPr="0036708A" w:rsidRDefault="00FF4123" w:rsidP="00FA6755">
            <w:pPr>
              <w:pStyle w:val="Default"/>
              <w:rPr>
                <w:sz w:val="22"/>
                <w:szCs w:val="22"/>
              </w:rPr>
            </w:pPr>
          </w:p>
        </w:tc>
      </w:tr>
      <w:tr w:rsidR="00FC5B75" w:rsidRPr="0036708A" w14:paraId="0166C7F4" w14:textId="07A68AA1" w:rsidTr="00FC5B75">
        <w:tc>
          <w:tcPr>
            <w:tcW w:w="4392" w:type="dxa"/>
            <w:shd w:val="clear" w:color="auto" w:fill="auto"/>
          </w:tcPr>
          <w:p w14:paraId="499E04BC" w14:textId="3BF9322C" w:rsidR="00FC5B75" w:rsidRPr="0036708A" w:rsidRDefault="00FC5B75" w:rsidP="00FA6755">
            <w:pPr>
              <w:pStyle w:val="Default"/>
              <w:rPr>
                <w:sz w:val="22"/>
                <w:szCs w:val="22"/>
              </w:rPr>
            </w:pPr>
            <w:r w:rsidRPr="0036708A">
              <w:br w:type="page"/>
            </w:r>
            <w:r w:rsidRPr="0036708A">
              <w:rPr>
                <w:rFonts w:eastAsia="Arial"/>
                <w:color w:val="auto"/>
                <w:sz w:val="22"/>
                <w:szCs w:val="22"/>
              </w:rPr>
              <w:br w:type="page"/>
            </w:r>
            <w:r w:rsidRPr="0036708A">
              <w:rPr>
                <w:sz w:val="22"/>
                <w:szCs w:val="22"/>
              </w:rPr>
              <w:t>Springwell Community College – installation of a 3G all-weather sports pitch.</w:t>
            </w:r>
          </w:p>
        </w:tc>
        <w:tc>
          <w:tcPr>
            <w:tcW w:w="4311" w:type="dxa"/>
            <w:shd w:val="clear" w:color="auto" w:fill="auto"/>
          </w:tcPr>
          <w:p w14:paraId="4E2876EA" w14:textId="77777777" w:rsidR="00FC5B75" w:rsidRPr="0036708A" w:rsidRDefault="00FC5B75" w:rsidP="00FA6755">
            <w:pPr>
              <w:pStyle w:val="Default"/>
              <w:rPr>
                <w:sz w:val="22"/>
                <w:szCs w:val="22"/>
              </w:rPr>
            </w:pPr>
            <w:r w:rsidRPr="0036708A">
              <w:rPr>
                <w:sz w:val="22"/>
                <w:szCs w:val="22"/>
              </w:rPr>
              <w:t>To address health and disability deprivation and youth engagement, both of which have been identified as significant issues in Staveley</w:t>
            </w:r>
          </w:p>
        </w:tc>
        <w:tc>
          <w:tcPr>
            <w:tcW w:w="2649" w:type="dxa"/>
          </w:tcPr>
          <w:p w14:paraId="778A1BA0" w14:textId="77777777" w:rsidR="00FC5B75" w:rsidRPr="0036708A" w:rsidRDefault="00FC5B75" w:rsidP="00FA6755">
            <w:pPr>
              <w:pStyle w:val="Default"/>
              <w:rPr>
                <w:sz w:val="22"/>
                <w:szCs w:val="22"/>
              </w:rPr>
            </w:pPr>
          </w:p>
        </w:tc>
        <w:tc>
          <w:tcPr>
            <w:tcW w:w="2596" w:type="dxa"/>
          </w:tcPr>
          <w:p w14:paraId="1B20E5EF" w14:textId="1AA35E84" w:rsidR="00FC5B75" w:rsidRPr="0036708A" w:rsidRDefault="006460CE" w:rsidP="00FA6755">
            <w:pPr>
              <w:pStyle w:val="Default"/>
              <w:rPr>
                <w:sz w:val="22"/>
                <w:szCs w:val="22"/>
              </w:rPr>
            </w:pPr>
            <w:r>
              <w:rPr>
                <w:sz w:val="22"/>
                <w:szCs w:val="22"/>
              </w:rPr>
              <w:t xml:space="preserve">Accelerator Fund </w:t>
            </w:r>
          </w:p>
        </w:tc>
      </w:tr>
      <w:tr w:rsidR="00FC5B75" w:rsidRPr="0036708A" w14:paraId="395FF8DF" w14:textId="5821B214" w:rsidTr="00FC5B75">
        <w:tc>
          <w:tcPr>
            <w:tcW w:w="4392" w:type="dxa"/>
            <w:shd w:val="clear" w:color="auto" w:fill="auto"/>
          </w:tcPr>
          <w:p w14:paraId="5F11800E" w14:textId="77777777" w:rsidR="00FC5B75" w:rsidRPr="0036708A" w:rsidRDefault="00FC5B75" w:rsidP="00FA6755">
            <w:pPr>
              <w:pStyle w:val="Default"/>
              <w:rPr>
                <w:sz w:val="22"/>
                <w:szCs w:val="22"/>
              </w:rPr>
            </w:pPr>
            <w:r w:rsidRPr="0036708A">
              <w:rPr>
                <w:sz w:val="22"/>
                <w:szCs w:val="22"/>
              </w:rPr>
              <w:t>Staveley Miners Welfare Football Club Ltd – to contribute to a wider pitch redevelopment project; this element to provide drainage for 3-pitches</w:t>
            </w:r>
          </w:p>
        </w:tc>
        <w:tc>
          <w:tcPr>
            <w:tcW w:w="4311" w:type="dxa"/>
            <w:shd w:val="clear" w:color="auto" w:fill="auto"/>
          </w:tcPr>
          <w:p w14:paraId="3D6A7D91" w14:textId="0872C163" w:rsidR="00FC5B75" w:rsidRPr="0036708A" w:rsidRDefault="00FC5B75" w:rsidP="00FA6755">
            <w:pPr>
              <w:pStyle w:val="Default"/>
              <w:rPr>
                <w:sz w:val="22"/>
                <w:szCs w:val="22"/>
              </w:rPr>
            </w:pPr>
            <w:r w:rsidRPr="0036708A">
              <w:rPr>
                <w:sz w:val="22"/>
                <w:szCs w:val="22"/>
              </w:rPr>
              <w:t>To improve the quality of sports provision alongside community engagement, skills and training facilities; all aspects which will complement the planned TIP for Staveley and contribute to improving the health and well-being of Staveley’s communities</w:t>
            </w:r>
            <w:r w:rsidR="008A59B7">
              <w:rPr>
                <w:sz w:val="22"/>
                <w:szCs w:val="22"/>
              </w:rPr>
              <w:t xml:space="preserve"> – longer term plan for education and skills centre</w:t>
            </w:r>
          </w:p>
        </w:tc>
        <w:tc>
          <w:tcPr>
            <w:tcW w:w="2649" w:type="dxa"/>
          </w:tcPr>
          <w:p w14:paraId="6B8F46D9" w14:textId="6CB04F2F" w:rsidR="00FC5B75" w:rsidRPr="0036708A" w:rsidRDefault="008A59B7" w:rsidP="00FA6755">
            <w:pPr>
              <w:pStyle w:val="Default"/>
              <w:rPr>
                <w:sz w:val="22"/>
                <w:szCs w:val="22"/>
              </w:rPr>
            </w:pPr>
            <w:r>
              <w:rPr>
                <w:sz w:val="22"/>
                <w:szCs w:val="22"/>
              </w:rPr>
              <w:t>Staveley Miners Welfare Football Club, Derbyshire County Council, Staveley Town Council</w:t>
            </w:r>
          </w:p>
        </w:tc>
        <w:tc>
          <w:tcPr>
            <w:tcW w:w="2596" w:type="dxa"/>
          </w:tcPr>
          <w:p w14:paraId="1FB98235" w14:textId="74B92768" w:rsidR="00FC5B75" w:rsidRPr="0036708A" w:rsidRDefault="006460CE" w:rsidP="00FA6755">
            <w:pPr>
              <w:pStyle w:val="Default"/>
              <w:rPr>
                <w:sz w:val="22"/>
                <w:szCs w:val="22"/>
              </w:rPr>
            </w:pPr>
            <w:r>
              <w:rPr>
                <w:sz w:val="22"/>
                <w:szCs w:val="22"/>
              </w:rPr>
              <w:t>Accelerator Fund</w:t>
            </w:r>
          </w:p>
        </w:tc>
      </w:tr>
      <w:tr w:rsidR="00FC5B75" w:rsidRPr="0036708A" w14:paraId="4A6CE29B" w14:textId="2AC4F609" w:rsidTr="00FC5B75">
        <w:tc>
          <w:tcPr>
            <w:tcW w:w="4392" w:type="dxa"/>
            <w:shd w:val="clear" w:color="auto" w:fill="auto"/>
          </w:tcPr>
          <w:p w14:paraId="31DB4AA5" w14:textId="77777777" w:rsidR="00FC5B75" w:rsidRPr="0036708A" w:rsidRDefault="00FC5B75" w:rsidP="00FA6755">
            <w:pPr>
              <w:pStyle w:val="Default"/>
              <w:rPr>
                <w:rStyle w:val="fontstyle01"/>
              </w:rPr>
            </w:pPr>
            <w:proofErr w:type="spellStart"/>
            <w:r w:rsidRPr="00FF4123">
              <w:rPr>
                <w:rStyle w:val="fontstyle01"/>
                <w:rFonts w:ascii="Arial" w:hAnsi="Arial"/>
              </w:rPr>
              <w:t>DRIIVe</w:t>
            </w:r>
            <w:proofErr w:type="spellEnd"/>
            <w:r w:rsidRPr="00FF4123">
              <w:rPr>
                <w:rStyle w:val="fontstyle01"/>
                <w:rFonts w:ascii="Arial" w:hAnsi="Arial"/>
              </w:rPr>
              <w:t xml:space="preserve"> (Derbyshire Rail Innovation Industry Vehicle) at Barrow Hill, Staveley – to support land purchase, site clearance and remediation, thereby enabling the future accelerated delivery of this critical growth project</w:t>
            </w:r>
          </w:p>
        </w:tc>
        <w:tc>
          <w:tcPr>
            <w:tcW w:w="4311" w:type="dxa"/>
            <w:shd w:val="clear" w:color="auto" w:fill="auto"/>
          </w:tcPr>
          <w:p w14:paraId="44CB684B" w14:textId="77777777" w:rsidR="00FC5B75" w:rsidRPr="0036708A" w:rsidRDefault="00FC5B75" w:rsidP="00FA6755">
            <w:pPr>
              <w:pStyle w:val="Default"/>
              <w:rPr>
                <w:sz w:val="22"/>
                <w:szCs w:val="22"/>
              </w:rPr>
            </w:pPr>
            <w:r w:rsidRPr="0036708A">
              <w:rPr>
                <w:sz w:val="22"/>
                <w:szCs w:val="22"/>
              </w:rPr>
              <w:t xml:space="preserve">To help accelerate delivery of a significant project for the TIP, with a focus on developing high quality jobs and level 2 to level 6 skills development and research opportunities within the rail industry. </w:t>
            </w:r>
            <w:proofErr w:type="spellStart"/>
            <w:r w:rsidRPr="0036708A">
              <w:rPr>
                <w:sz w:val="22"/>
                <w:szCs w:val="22"/>
              </w:rPr>
              <w:t>DRIIVe</w:t>
            </w:r>
            <w:proofErr w:type="spellEnd"/>
            <w:r w:rsidRPr="0036708A">
              <w:rPr>
                <w:sz w:val="22"/>
                <w:szCs w:val="22"/>
              </w:rPr>
              <w:t xml:space="preserve"> is already at Stage 2 RIBA design and has the potential to open the way for a significant foreign direct investment into the Staveley area through Spanish train manufacturer, </w:t>
            </w:r>
            <w:proofErr w:type="spellStart"/>
            <w:r w:rsidRPr="0036708A">
              <w:rPr>
                <w:sz w:val="22"/>
                <w:szCs w:val="22"/>
              </w:rPr>
              <w:t>Talgo</w:t>
            </w:r>
            <w:proofErr w:type="spellEnd"/>
            <w:r w:rsidRPr="0036708A">
              <w:rPr>
                <w:sz w:val="22"/>
                <w:szCs w:val="22"/>
              </w:rPr>
              <w:t>.</w:t>
            </w:r>
          </w:p>
        </w:tc>
        <w:tc>
          <w:tcPr>
            <w:tcW w:w="2649" w:type="dxa"/>
          </w:tcPr>
          <w:p w14:paraId="2EEC2454" w14:textId="71154AB1" w:rsidR="00FC5B75" w:rsidRPr="0036708A" w:rsidRDefault="00FF4123" w:rsidP="00FA6755">
            <w:pPr>
              <w:pStyle w:val="Default"/>
              <w:rPr>
                <w:sz w:val="22"/>
                <w:szCs w:val="22"/>
              </w:rPr>
            </w:pPr>
            <w:r>
              <w:rPr>
                <w:sz w:val="22"/>
                <w:szCs w:val="22"/>
              </w:rPr>
              <w:t xml:space="preserve">Chesterfield </w:t>
            </w:r>
            <w:r w:rsidR="008A59B7">
              <w:rPr>
                <w:sz w:val="22"/>
                <w:szCs w:val="22"/>
              </w:rPr>
              <w:t>Borough Council</w:t>
            </w:r>
          </w:p>
        </w:tc>
        <w:tc>
          <w:tcPr>
            <w:tcW w:w="2596" w:type="dxa"/>
          </w:tcPr>
          <w:p w14:paraId="611F7562" w14:textId="61C5B43D" w:rsidR="00FC5B75" w:rsidRPr="0036708A" w:rsidRDefault="006460CE" w:rsidP="00FA6755">
            <w:pPr>
              <w:pStyle w:val="Default"/>
              <w:rPr>
                <w:sz w:val="22"/>
                <w:szCs w:val="22"/>
              </w:rPr>
            </w:pPr>
            <w:r>
              <w:rPr>
                <w:sz w:val="22"/>
                <w:szCs w:val="22"/>
              </w:rPr>
              <w:t>Accelerator Fund (Land assembly)</w:t>
            </w:r>
          </w:p>
        </w:tc>
      </w:tr>
      <w:tr w:rsidR="00FC5B75" w:rsidRPr="0036708A" w14:paraId="5ABB808F" w14:textId="0EE720B3" w:rsidTr="00FC5B75">
        <w:tc>
          <w:tcPr>
            <w:tcW w:w="4392" w:type="dxa"/>
            <w:shd w:val="clear" w:color="auto" w:fill="auto"/>
          </w:tcPr>
          <w:p w14:paraId="4E3E3A96" w14:textId="77777777" w:rsidR="00FC5B75" w:rsidRPr="0036708A" w:rsidRDefault="00FC5B75" w:rsidP="00FA6755">
            <w:pPr>
              <w:pStyle w:val="Default"/>
              <w:rPr>
                <w:rStyle w:val="fontstyle01"/>
              </w:rPr>
            </w:pPr>
            <w:r w:rsidRPr="0036708A">
              <w:rPr>
                <w:sz w:val="22"/>
                <w:szCs w:val="22"/>
              </w:rPr>
              <w:t>CCTV upgrade and enhancement project for Staveley town centre and area</w:t>
            </w:r>
          </w:p>
        </w:tc>
        <w:tc>
          <w:tcPr>
            <w:tcW w:w="4311" w:type="dxa"/>
            <w:shd w:val="clear" w:color="auto" w:fill="auto"/>
          </w:tcPr>
          <w:p w14:paraId="445A6402" w14:textId="77777777" w:rsidR="00FC5B75" w:rsidRPr="0036708A" w:rsidRDefault="00FC5B75" w:rsidP="00FA6755">
            <w:pPr>
              <w:pStyle w:val="Default"/>
              <w:rPr>
                <w:sz w:val="22"/>
                <w:szCs w:val="22"/>
              </w:rPr>
            </w:pPr>
            <w:r w:rsidRPr="0036708A">
              <w:rPr>
                <w:sz w:val="22"/>
                <w:szCs w:val="22"/>
              </w:rPr>
              <w:t>Community safety and business shop watch schemes are important pillars of the TIP. This early investment in new cameras and up to date technology will give renewed confidence to business owners and the public.</w:t>
            </w:r>
          </w:p>
        </w:tc>
        <w:tc>
          <w:tcPr>
            <w:tcW w:w="2649" w:type="dxa"/>
          </w:tcPr>
          <w:p w14:paraId="411489D7" w14:textId="77777777" w:rsidR="00FC5B75" w:rsidRPr="0036708A" w:rsidRDefault="00FC5B75" w:rsidP="00FA6755">
            <w:pPr>
              <w:pStyle w:val="Default"/>
              <w:rPr>
                <w:sz w:val="22"/>
                <w:szCs w:val="22"/>
              </w:rPr>
            </w:pPr>
          </w:p>
        </w:tc>
        <w:tc>
          <w:tcPr>
            <w:tcW w:w="2596" w:type="dxa"/>
          </w:tcPr>
          <w:p w14:paraId="53DE1C50" w14:textId="1FB87982" w:rsidR="00FC5B75" w:rsidRPr="0036708A" w:rsidRDefault="006460CE" w:rsidP="00FA6755">
            <w:pPr>
              <w:pStyle w:val="Default"/>
              <w:rPr>
                <w:sz w:val="22"/>
                <w:szCs w:val="22"/>
              </w:rPr>
            </w:pPr>
            <w:r>
              <w:rPr>
                <w:sz w:val="22"/>
                <w:szCs w:val="22"/>
              </w:rPr>
              <w:t>Accelerator Fund</w:t>
            </w:r>
          </w:p>
        </w:tc>
      </w:tr>
    </w:tbl>
    <w:p w14:paraId="29C8D2AF" w14:textId="77777777" w:rsidR="00FC5B75" w:rsidRDefault="00FC5B75"/>
    <w:sectPr w:rsidR="00FC5B75" w:rsidSect="00FC5B75">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1F44D" w14:textId="77777777" w:rsidR="006459BF" w:rsidRDefault="006459BF" w:rsidP="006910AE">
      <w:pPr>
        <w:spacing w:after="0" w:line="240" w:lineRule="auto"/>
      </w:pPr>
      <w:r>
        <w:separator/>
      </w:r>
    </w:p>
  </w:endnote>
  <w:endnote w:type="continuationSeparator" w:id="0">
    <w:p w14:paraId="521026C1" w14:textId="77777777" w:rsidR="006459BF" w:rsidRDefault="006459BF" w:rsidP="0069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CE9A" w14:textId="77777777" w:rsidR="006910AE" w:rsidRDefault="00691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BD59" w14:textId="77777777" w:rsidR="006910AE" w:rsidRDefault="00691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6965" w14:textId="77777777" w:rsidR="006910AE" w:rsidRDefault="00691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A6D" w14:textId="77777777" w:rsidR="006459BF" w:rsidRDefault="006459BF" w:rsidP="006910AE">
      <w:pPr>
        <w:spacing w:after="0" w:line="240" w:lineRule="auto"/>
      </w:pPr>
      <w:r>
        <w:separator/>
      </w:r>
    </w:p>
  </w:footnote>
  <w:footnote w:type="continuationSeparator" w:id="0">
    <w:p w14:paraId="32B09C1C" w14:textId="77777777" w:rsidR="006459BF" w:rsidRDefault="006459BF" w:rsidP="0069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4815" w14:textId="77777777" w:rsidR="006910AE" w:rsidRDefault="00691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664911"/>
      <w:docPartObj>
        <w:docPartGallery w:val="Watermarks"/>
        <w:docPartUnique/>
      </w:docPartObj>
    </w:sdtPr>
    <w:sdtEndPr/>
    <w:sdtContent>
      <w:p w14:paraId="7B9DD6FC" w14:textId="05430C8D" w:rsidR="006910AE" w:rsidRDefault="00212B66">
        <w:pPr>
          <w:pStyle w:val="Header"/>
        </w:pPr>
        <w:r>
          <w:rPr>
            <w:noProof/>
          </w:rPr>
          <w:pict w14:anchorId="43D61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E67D" w14:textId="77777777" w:rsidR="006910AE" w:rsidRDefault="0069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E56A5"/>
    <w:multiLevelType w:val="hybridMultilevel"/>
    <w:tmpl w:val="627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004DA"/>
    <w:multiLevelType w:val="hybridMultilevel"/>
    <w:tmpl w:val="0EFA0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75"/>
    <w:rsid w:val="0016036C"/>
    <w:rsid w:val="001779E4"/>
    <w:rsid w:val="00212B66"/>
    <w:rsid w:val="003134B0"/>
    <w:rsid w:val="0044315E"/>
    <w:rsid w:val="0059146F"/>
    <w:rsid w:val="006459BF"/>
    <w:rsid w:val="006460CE"/>
    <w:rsid w:val="006910AE"/>
    <w:rsid w:val="008A59B7"/>
    <w:rsid w:val="008D7472"/>
    <w:rsid w:val="009031FA"/>
    <w:rsid w:val="00DA3E2E"/>
    <w:rsid w:val="00FA1D52"/>
    <w:rsid w:val="00FC5B75"/>
    <w:rsid w:val="00FF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8ADE8B"/>
  <w15:chartTrackingRefBased/>
  <w15:docId w15:val="{7FBAD4F5-A2B1-4609-94D7-158140AA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7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C5B75"/>
    <w:pPr>
      <w:autoSpaceDE w:val="0"/>
      <w:autoSpaceDN w:val="0"/>
      <w:spacing w:after="0" w:line="240" w:lineRule="auto"/>
    </w:pPr>
    <w:rPr>
      <w:rFonts w:eastAsia="Calibri" w:cs="Arial"/>
      <w:color w:val="000000"/>
      <w:sz w:val="24"/>
      <w:szCs w:val="24"/>
    </w:rPr>
  </w:style>
  <w:style w:type="character" w:customStyle="1" w:styleId="fontstyle01">
    <w:name w:val="fontstyle01"/>
    <w:rsid w:val="00FC5B75"/>
    <w:rPr>
      <w:rFonts w:ascii="CIDFont+F1" w:hAnsi="CIDFont+F1" w:hint="default"/>
      <w:b w:val="0"/>
      <w:bCs w:val="0"/>
      <w:i w:val="0"/>
      <w:iCs w:val="0"/>
      <w:color w:val="000000"/>
      <w:sz w:val="22"/>
      <w:szCs w:val="22"/>
    </w:rPr>
  </w:style>
  <w:style w:type="paragraph" w:styleId="Header">
    <w:name w:val="header"/>
    <w:basedOn w:val="Normal"/>
    <w:link w:val="HeaderChar"/>
    <w:uiPriority w:val="99"/>
    <w:unhideWhenUsed/>
    <w:rsid w:val="00691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AE"/>
    <w:rPr>
      <w:rFonts w:ascii="Arial" w:eastAsia="Arial" w:hAnsi="Arial" w:cs="Times New Roman"/>
    </w:rPr>
  </w:style>
  <w:style w:type="paragraph" w:styleId="Footer">
    <w:name w:val="footer"/>
    <w:basedOn w:val="Normal"/>
    <w:link w:val="FooterChar"/>
    <w:uiPriority w:val="99"/>
    <w:unhideWhenUsed/>
    <w:rsid w:val="00691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AE"/>
    <w:rPr>
      <w:rFonts w:ascii="Arial" w:eastAsia="Arial" w:hAnsi="Arial" w:cs="Times New Roman"/>
    </w:rPr>
  </w:style>
  <w:style w:type="paragraph" w:styleId="BalloonText">
    <w:name w:val="Balloon Text"/>
    <w:basedOn w:val="Normal"/>
    <w:link w:val="BalloonTextChar"/>
    <w:uiPriority w:val="99"/>
    <w:semiHidden/>
    <w:unhideWhenUsed/>
    <w:rsid w:val="008D7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47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87C0B2C4C84581E66FF4344F4809" ma:contentTypeVersion="13" ma:contentTypeDescription="Create a new document." ma:contentTypeScope="" ma:versionID="81b00a3131096dfc8092db00c8bcf280">
  <xsd:schema xmlns:xsd="http://www.w3.org/2001/XMLSchema" xmlns:xs="http://www.w3.org/2001/XMLSchema" xmlns:p="http://schemas.microsoft.com/office/2006/metadata/properties" xmlns:ns3="34505a84-aa52-4627-b3d4-7ae84f123673" xmlns:ns4="b9af971e-57a4-4ddf-8430-0c2774c57cfc" targetNamespace="http://schemas.microsoft.com/office/2006/metadata/properties" ma:root="true" ma:fieldsID="f28d546dbc66bb66e077de7d0d08d42b" ns3:_="" ns4:_="">
    <xsd:import namespace="34505a84-aa52-4627-b3d4-7ae84f123673"/>
    <xsd:import namespace="b9af971e-57a4-4ddf-8430-0c2774c57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5a84-aa52-4627-b3d4-7ae84f12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f971e-57a4-4ddf-8430-0c2774c57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4999-109C-431A-A0F7-A5E5BD27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5a84-aa52-4627-b3d4-7ae84f123673"/>
    <ds:schemaRef ds:uri="b9af971e-57a4-4ddf-8430-0c2774c57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56850-68D6-43C1-A4BB-758739EF9F38}">
  <ds:schemaRefs>
    <ds:schemaRef ds:uri="http://schemas.microsoft.com/sharepoint/v3/contenttype/forms"/>
  </ds:schemaRefs>
</ds:datastoreItem>
</file>

<file path=customXml/itemProps3.xml><?xml version="1.0" encoding="utf-8"?>
<ds:datastoreItem xmlns:ds="http://schemas.openxmlformats.org/officeDocument/2006/customXml" ds:itemID="{70004ADF-1947-4A63-8BBC-F4903B0934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17AE1-0426-4F8B-B7AB-00249B0D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Wetton</dc:creator>
  <cp:keywords/>
  <dc:description/>
  <cp:lastModifiedBy>Sharon Simcox</cp:lastModifiedBy>
  <cp:revision>2</cp:revision>
  <dcterms:created xsi:type="dcterms:W3CDTF">2020-09-14T12:25:00Z</dcterms:created>
  <dcterms:modified xsi:type="dcterms:W3CDTF">2020-09-14T12:25:00Z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0x010100174C87C0B2C4C84581E66FF4344F4809</vt:lpwstr>
  </property>
</Properties>
</file>